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W w:w="9705" w:type="dxa"/>
        <w:tblInd w:w="109" w:type="dxa"/>
        <w:tblLook w:val="01E0"/>
      </w:tblPr>
      <w:tblGrid>
        <w:gridCol w:w="3260"/>
        <w:gridCol w:w="6445"/>
      </w:tblGrid>
      <w:tr w:rsidR="002C2EFE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EFE" w:rsidRDefault="00FA7CD5">
            <w:pPr>
              <w:ind w:left="-180" w:right="-108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9050" distR="9525">
                  <wp:extent cx="428625" cy="5334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2EFE" w:rsidRDefault="00FA7CD5">
            <w:pPr>
              <w:ind w:left="-180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2C2EFE" w:rsidRDefault="00FA7CD5">
            <w:pPr>
              <w:ind w:left="-180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2C2EFE" w:rsidRDefault="00FA7CD5">
            <w:pPr>
              <w:ind w:left="-180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Новоорский район</w:t>
            </w:r>
          </w:p>
          <w:p w:rsidR="002C2EFE" w:rsidRDefault="00FA7CD5">
            <w:pPr>
              <w:ind w:left="-180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2C2EFE" w:rsidRDefault="002C2EFE">
            <w:pPr>
              <w:ind w:left="-180" w:right="-108"/>
              <w:jc w:val="center"/>
              <w:rPr>
                <w:sz w:val="16"/>
                <w:szCs w:val="16"/>
              </w:rPr>
            </w:pPr>
          </w:p>
          <w:p w:rsidR="002C2EFE" w:rsidRDefault="00FA7CD5">
            <w:pPr>
              <w:ind w:left="-18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462800, Оренбургская область </w:t>
            </w:r>
          </w:p>
          <w:p w:rsidR="002C2EFE" w:rsidRDefault="00FA7CD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овоорск, ул.Рабочая 1</w:t>
            </w:r>
          </w:p>
          <w:p w:rsidR="002C2EFE" w:rsidRDefault="00FA7CD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Телефон:(35363) 7-70-02</w:t>
            </w:r>
          </w:p>
          <w:p w:rsidR="002C2EFE" w:rsidRDefault="00FA7CD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Телефакс: (35363) 7-15-32</w:t>
            </w:r>
          </w:p>
          <w:p w:rsidR="002C2EFE" w:rsidRDefault="00697846">
            <w:pPr>
              <w:ind w:left="-108" w:right="-108"/>
              <w:jc w:val="center"/>
            </w:pPr>
            <w:hyperlink r:id="rId6">
              <w:r w:rsidR="00FA7CD5">
                <w:rPr>
                  <w:rStyle w:val="InternetLink"/>
                  <w:sz w:val="20"/>
                  <w:szCs w:val="20"/>
                  <w:lang w:val="en-US"/>
                </w:rPr>
                <w:t>neworsk</w:t>
              </w:r>
              <w:r w:rsidR="00FA7CD5">
                <w:rPr>
                  <w:rStyle w:val="InternetLink"/>
                  <w:sz w:val="20"/>
                  <w:szCs w:val="20"/>
                </w:rPr>
                <w:t>56.</w:t>
              </w:r>
              <w:r w:rsidR="00FA7CD5">
                <w:rPr>
                  <w:rStyle w:val="InternetLink"/>
                  <w:sz w:val="20"/>
                  <w:szCs w:val="20"/>
                  <w:lang w:val="en-US"/>
                </w:rPr>
                <w:t>orb</w:t>
              </w:r>
              <w:r w:rsidR="00FA7CD5">
                <w:rPr>
                  <w:rStyle w:val="InternetLink"/>
                  <w:sz w:val="20"/>
                  <w:szCs w:val="20"/>
                </w:rPr>
                <w:t>.</w:t>
              </w:r>
              <w:r w:rsidR="00FA7CD5">
                <w:rPr>
                  <w:rStyle w:val="InternetLink"/>
                  <w:sz w:val="20"/>
                  <w:szCs w:val="20"/>
                  <w:lang w:val="en-US"/>
                </w:rPr>
                <w:t>ru</w:t>
              </w:r>
            </w:hyperlink>
            <w:r w:rsidR="00FA7CD5">
              <w:rPr>
                <w:sz w:val="18"/>
                <w:szCs w:val="18"/>
              </w:rPr>
              <w:t xml:space="preserve">; </w:t>
            </w:r>
            <w:r w:rsidR="00FA7CD5">
              <w:rPr>
                <w:sz w:val="18"/>
                <w:szCs w:val="18"/>
                <w:lang w:val="en-US"/>
              </w:rPr>
              <w:t>Email</w:t>
            </w:r>
            <w:r w:rsidR="00FA7CD5">
              <w:rPr>
                <w:sz w:val="18"/>
                <w:szCs w:val="18"/>
              </w:rPr>
              <w:t xml:space="preserve">: </w:t>
            </w:r>
            <w:hyperlink r:id="rId7">
              <w:r w:rsidR="00FA7CD5">
                <w:rPr>
                  <w:rStyle w:val="InternetLink"/>
                  <w:sz w:val="18"/>
                  <w:szCs w:val="18"/>
                  <w:lang w:val="en-US"/>
                </w:rPr>
                <w:t>no</w:t>
              </w:r>
              <w:r w:rsidR="00FA7CD5">
                <w:rPr>
                  <w:rStyle w:val="InternetLink"/>
                  <w:sz w:val="18"/>
                  <w:szCs w:val="18"/>
                </w:rPr>
                <w:t>@</w:t>
              </w:r>
              <w:r w:rsidR="00FA7CD5">
                <w:rPr>
                  <w:rStyle w:val="InternetLink"/>
                  <w:sz w:val="18"/>
                  <w:szCs w:val="18"/>
                  <w:lang w:val="en-US"/>
                </w:rPr>
                <w:t>mail</w:t>
              </w:r>
              <w:r w:rsidR="00FA7CD5">
                <w:rPr>
                  <w:rStyle w:val="InternetLink"/>
                  <w:sz w:val="18"/>
                  <w:szCs w:val="18"/>
                </w:rPr>
                <w:t>.</w:t>
              </w:r>
              <w:r w:rsidR="00FA7CD5">
                <w:rPr>
                  <w:rStyle w:val="InternetLink"/>
                  <w:sz w:val="18"/>
                  <w:szCs w:val="18"/>
                  <w:lang w:val="en-US"/>
                </w:rPr>
                <w:t>orb</w:t>
              </w:r>
              <w:r w:rsidR="00FA7CD5">
                <w:rPr>
                  <w:rStyle w:val="InternetLink"/>
                  <w:sz w:val="18"/>
                  <w:szCs w:val="18"/>
                </w:rPr>
                <w:t>.</w:t>
              </w:r>
              <w:r w:rsidR="00FA7CD5">
                <w:rPr>
                  <w:rStyle w:val="InternetLink"/>
                  <w:sz w:val="18"/>
                  <w:szCs w:val="18"/>
                  <w:lang w:val="en-US"/>
                </w:rPr>
                <w:t>ru</w:t>
              </w:r>
            </w:hyperlink>
            <w:r w:rsidR="00FA7CD5">
              <w:rPr>
                <w:sz w:val="18"/>
                <w:szCs w:val="18"/>
              </w:rPr>
              <w:t xml:space="preserve">   </w:t>
            </w:r>
          </w:p>
          <w:p w:rsidR="002C2EFE" w:rsidRDefault="002C2EFE">
            <w:pPr>
              <w:ind w:right="-108"/>
              <w:rPr>
                <w:rFonts w:ascii="Tahoma" w:hAnsi="Tahoma" w:cs="Tahoma"/>
              </w:rPr>
            </w:pPr>
          </w:p>
          <w:p w:rsidR="002C2EFE" w:rsidRDefault="00FA7CD5">
            <w:pPr>
              <w:ind w:right="-10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___________________________________</w:t>
            </w:r>
          </w:p>
          <w:p w:rsidR="002C2EFE" w:rsidRDefault="002C2EFE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EFE" w:rsidRDefault="00FA7CD5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                   </w:t>
            </w:r>
          </w:p>
          <w:p w:rsidR="002C2EFE" w:rsidRDefault="002C2EFE">
            <w:pPr>
              <w:tabs>
                <w:tab w:val="left" w:pos="1806"/>
              </w:tabs>
              <w:rPr>
                <w:sz w:val="28"/>
                <w:szCs w:val="28"/>
              </w:rPr>
            </w:pPr>
          </w:p>
          <w:p w:rsidR="002C2EFE" w:rsidRDefault="00FA7CD5">
            <w:pPr>
              <w:ind w:left="884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Главам муниципальных образований Новоорского района Оренбургской области (по списку)</w:t>
            </w:r>
          </w:p>
          <w:p w:rsidR="002C2EFE" w:rsidRDefault="00FA7CD5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C2EFE" w:rsidRDefault="00FA7CD5">
      <w:pPr>
        <w:spacing w:line="360" w:lineRule="auto"/>
      </w:pPr>
      <w:r>
        <w:rPr>
          <w:rFonts w:ascii="Tahoma" w:hAnsi="Tahoma" w:cs="Tahoma"/>
          <w:sz w:val="16"/>
          <w:szCs w:val="16"/>
        </w:rPr>
        <w:t xml:space="preserve">           </w:t>
      </w:r>
      <w:bookmarkStart w:id="0" w:name="__UnoMark__1142_1303778669"/>
      <w:bookmarkEnd w:id="0"/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2915920" cy="21590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EFE" w:rsidRDefault="00FA7CD5">
      <w:pPr>
        <w:pStyle w:val="a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Главы!</w:t>
      </w:r>
    </w:p>
    <w:p w:rsidR="002C2EFE" w:rsidRDefault="002C2EFE">
      <w:pPr>
        <w:pStyle w:val="a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C2EFE" w:rsidRDefault="00FA7CD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Доводим до Вашего сведения, что постановлением Правительства Оренбургской области от 25.10.2022 года № 1136-п (вступает в силу с 1 января 2023 года) внесены изменения в постановление Правительства Оренбургской области от 27.07.2011 № 652-п «О предоставлении социальных выплат нуждающимся в улучшении жилищных условий гражданам на уплату первоначального взноса при получении ипотечного жилищного кредита или его части» (далее – Порядок), в том числе: </w:t>
      </w:r>
      <w:proofErr w:type="gramEnd"/>
    </w:p>
    <w:p w:rsidR="002C2EFE" w:rsidRDefault="00FA7CD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Расширен круг получателей меры социальной поддержки в виде предоставления социальных выплат на уплату первоначального взноса при получении ипотечного жилищного кредита или его части, данное право закреплено за гражданами, указанными в статье 3 Закона Оренбургской области от 13.07.2007 № 1347/285-IV-ОЗ «О предоставлении жилых помещений отдельным категориям граждан на территории Оренбургской области», состоящими на учете в качестве нуждающихся в жилых помещениях, предоставляемых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найма, в соответствии с Жилищным кодексом Российской Федерации, в том числе:</w:t>
      </w:r>
    </w:p>
    <w:p w:rsidR="002C2EFE" w:rsidRDefault="00FA7CD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инвалидами боевых действий;</w:t>
      </w:r>
    </w:p>
    <w:p w:rsidR="002C2EFE" w:rsidRDefault="00FA7CD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ветеранами боевых действий;</w:t>
      </w:r>
    </w:p>
    <w:p w:rsidR="002C2EFE" w:rsidRDefault="00FA7CD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членами семей погибших (умерших) инвалидов боевых действий и ветеранов боевых действий;</w:t>
      </w:r>
    </w:p>
    <w:p w:rsidR="002C2EFE" w:rsidRDefault="00FA7CD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инвалидами и семьями, имеющими детей-инвалидов;</w:t>
      </w:r>
    </w:p>
    <w:p w:rsidR="002C2EFE" w:rsidRDefault="00FA7CD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Героями Советского Союза, Героями Российской Федерации и полными кавалерам ордена Славы в порядке, установленном федеральным законодательством;</w:t>
      </w:r>
    </w:p>
    <w:p w:rsidR="002C2EFE" w:rsidRDefault="00FA7CD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Героями Социалистического Труда, Героями Труда Российской Федерации и полными кавалерами ордена Трудовой Славы в порядке, установленном федеральным законодательством;</w:t>
      </w:r>
    </w:p>
    <w:p w:rsidR="002C2EFE" w:rsidRDefault="00FA7CD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реабилитированными лицами, утратившими жилые помещения на территории Оренбургской области в связи с репрессиями, в случае возвращения на прежнее местожительство, в том числе членами их семей, другими родственниками, проживавшими совместно с репрессированными лицами до применения к ним репрессий, а также детьми, родившимися в местах лишения свободы, ссылке, высылке,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спецпоселении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C2EFE" w:rsidRDefault="00FA7CD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гражданами, страдающими тяжелыми формами хронических заболеваний, указанных в перечне соответствующих заболеваний, установленном уполномоченным Правительством Российской Федерации федеральным органом исполнительной власти;</w:t>
      </w:r>
    </w:p>
    <w:p w:rsidR="002C2EFE" w:rsidRDefault="00FA7CD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больными заразными формами туберкулеза в соответствии с Жилищным кодексом Российской Федерации;</w:t>
      </w:r>
    </w:p>
    <w:p w:rsidR="002C2EFE" w:rsidRDefault="00FA7CD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членами семей погибших при исполнении служебных обязанностей работников противопожарной службы области;</w:t>
      </w:r>
    </w:p>
    <w:p w:rsidR="002C2EFE" w:rsidRDefault="00FA7CD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гражданами, проживающими в жилых помещениях жилищного фонда Оренбургской области, которые признаны в установленном порядке непригодными для проживания и ремонту или реконструкции не подлежат;</w:t>
      </w:r>
    </w:p>
    <w:p w:rsidR="002C2EFE" w:rsidRDefault="00FA7CD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многодетными семьями,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трех и более несовершеннолетних детей.</w:t>
      </w:r>
    </w:p>
    <w:p w:rsidR="002C2EFE" w:rsidRDefault="00FA7CD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получателями являлись только работники государственных (муниципальных) учреждений, государственные гражданские (муниципальные) служащие.</w:t>
      </w:r>
    </w:p>
    <w:p w:rsidR="002C2EFE" w:rsidRDefault="00FA7CD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Уточнены случаи, при которых социальная выплата не может быть использована на оплату части стоимости приобретаемого с помощью ипотечного жилищного кредита жилого помещения:</w:t>
      </w:r>
    </w:p>
    <w:p w:rsidR="002C2EFE" w:rsidRDefault="00FA7CD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жилого помещения в зоне, подверженной риску затопления, подтопления;</w:t>
      </w:r>
    </w:p>
    <w:p w:rsidR="002C2EFE" w:rsidRDefault="00FA7CD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жилого помещения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2C2EFE" w:rsidRDefault="00FA7CD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Уровень износа приобретаемого с использованием социальной выплаты жилого помещения на вторичном рынке не должен превышать 30 процентов (ранее не был установлен).</w:t>
      </w:r>
    </w:p>
    <w:p w:rsidR="002C2EFE" w:rsidRDefault="00FA7CD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Общая площадь приобретаемого с использованием социальной выплаты жилого помещения должна быть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 учетной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нормы площади жилого помещения на одного члена семьи (с учетом имеющегося жилого помещения), установленной органом местного самоуправления по месту приобретения жилого помещения.</w:t>
      </w:r>
    </w:p>
    <w:p w:rsidR="002C2EFE" w:rsidRDefault="00FA7CD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Изменены сроки:</w:t>
      </w:r>
    </w:p>
    <w:p w:rsidR="002C2EFE" w:rsidRDefault="00FA7CD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приема заявлений от граждан на получение социальной выплаты – ежеквартально, до 1 числа второго месяца квартала текущего финансового года, в пределах средств, предусмотренных в областном бюджете на указанные цели (ранее – ежегодно, до 25 декабря текущего финансового года);</w:t>
      </w:r>
    </w:p>
    <w:p w:rsidR="002C2EFE" w:rsidRDefault="00FA7CD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проведения заседаний постоянно действующей комиссии по вопросам предоставления социальной выплаты для оплаты части первоначального взноса при получении ипотечного жилищного кредита – не реже одного раза в квартал (ранее – не реже одного раза в месяц);</w:t>
      </w:r>
    </w:p>
    <w:p w:rsidR="002C2EFE" w:rsidRDefault="00FA7CD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принятия решения комиссией о включении (об отказе во включении) гражданина в список получателей социальной выплаты – не позднее тридцати календарных дней со дня окончания срока приема заявлений от граждан (ранее – не позднее тридцати рабочих дней после дня подачи документов).</w:t>
      </w:r>
    </w:p>
    <w:p w:rsidR="002C2EFE" w:rsidRDefault="00FA7CD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 первоочередной порядок включения граждан, указанных в статье 3 Закона Оренбургской области от 13.07.2007 № 1347/285-IV-ОЗ «О предоставлении жилых помещений отдельным категориям граждан на территории Оренбургской области», состоящих на учете в качестве нуждающихся в жилых помещениях, предоставляемых по договорам социального найма, в органах местного самоуправления в соответствии с требованиями Жилищного кодекса Российской Федерации, при формировании списка получателей социальной выплаты.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Указанные граждане включаются в список получателей социальной выплаты по дате и времени подачи заявлений и пакета документов.</w:t>
      </w:r>
    </w:p>
    <w:p w:rsidR="002C2EFE" w:rsidRDefault="00FA7CD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Условиями предоставления гражданам социальной выплаты являются:</w:t>
      </w:r>
    </w:p>
    <w:p w:rsidR="002C2EFE" w:rsidRDefault="00FA7CD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нуждаемость граждан в улучшении жилищных условий;</w:t>
      </w:r>
    </w:p>
    <w:p w:rsidR="002C2EFE" w:rsidRDefault="00FA7CD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ипотечного жилищного кредита на приобретение (строительство) жилья, подтвержденное письменным намерением банка.</w:t>
      </w:r>
    </w:p>
    <w:p w:rsidR="002C2EFE" w:rsidRDefault="00FA7CD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размер социальной выплаты меньше размера первоначального взноса при получении ипотечного жилищного кредита, указанного в предварительном письменном намерении банка о предоставлении ипотечного жилищного кредита на приобретение (строительство) жилья, условием предоставления социальной выплаты является наличие у гражданина собственных средств, необходимых для оплаты части первоначального взноса, в том числе средств (части средств) материнского (семейного) капитала, в размере разницы между стоимостью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жилья и суммами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социальной выплаты и ипотечного жилищного кредита.</w:t>
      </w:r>
    </w:p>
    <w:p w:rsidR="002C2EFE" w:rsidRDefault="00FA7CD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включения в список претендентов на получение социальных выплат граждане представляют по своему выбору в министерство социального развития области, многофункциональный центр предоставления государственных и муниципальных услуг (далее – МФЦ) либо через единый интернет-портал государственных и муниципальных услуг (функций) (далее – Портал) заявление и документы, предусмотренные пунктом 17 Порядка.</w:t>
      </w:r>
    </w:p>
    <w:p w:rsidR="002C2EFE" w:rsidRDefault="00FA7CD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заявлений от граждан на получение социальной выплаты производится ежеквартально, до 1 числа второго месяца квартала текущего финансового года, в пределах средств, предусмотренных в областном бюджете на указанные цели.</w:t>
      </w:r>
    </w:p>
    <w:p w:rsidR="002C2EFE" w:rsidRDefault="00FA7CD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количество заявлений граждан на получение социальной выплаты по сумме требуемых средств будет соответствовать сумме ассигнований на указанные цели в текущем году, министерство социального развития Оренбургской области приостанавливает прием заявлений на получение социальной выплаты в текущем году.</w:t>
      </w:r>
    </w:p>
    <w:p w:rsidR="002C2EFE" w:rsidRDefault="00FA7CD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2022 году прием заявлений граждан на получение социальной выплаты на уплату первоначального взноса при получении ипотечного жилищного кредита или его части приостановлен на основании приказа министерства от 22.02.2022 года № 103 (приказ опубликован на Портале официального опубликования нормативных правовых актов Оренбургской области и органов исполнительной власти Оренбургской области 22.02.2022 года, а также размещен на официальном сайте министерства социального развития Оренбургской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22.02.2022 года).</w:t>
      </w:r>
    </w:p>
    <w:p w:rsidR="002C2EFE" w:rsidRDefault="00FA7CD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 и документов будет возобновлен в первый день 2023 года:</w:t>
      </w:r>
    </w:p>
    <w:p w:rsidR="002C2EFE" w:rsidRDefault="00FA7CD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министерстве социального развития Оренбургской области - по графику работы, режим рабочей недели: понедельник – четверг с 9.00 до 18.00, пятница – с 9.00 до 17.00; обеденный перерыв – с 13.00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13.48; суббота, воскресенье – выходные дни;</w:t>
      </w:r>
    </w:p>
    <w:p w:rsidR="002C2EFE" w:rsidRDefault="00FA7CD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МФЦ: по графику работы МФЦ, указанному на официальном сайте, информационных стендах в местах, предназначенных для предоставления государственной услуги;</w:t>
      </w:r>
    </w:p>
    <w:p w:rsidR="002C2EFE" w:rsidRDefault="00FA7CD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посредством Портала – круглосуточно.</w:t>
      </w:r>
    </w:p>
    <w:p w:rsidR="002C2EFE" w:rsidRDefault="00FA7CD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социальной выплаты определяется в соответствии с пунктом 8 Порядка, но не более 20 процентов от фактической стоимости приобретаемого жилья, и не может превышать суммы первоначального взноса при получении ипотечного жилищного кредита, указанного в предварительном письменном намерении банка о предоставлении ипотечного жилищного кредита на приобретение (строительство) жилья.</w:t>
      </w:r>
    </w:p>
    <w:p w:rsidR="002C2EFE" w:rsidRDefault="00FA7CD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социальной выплаты рассчитывается исходя из количества членов семьи гражданина, которому предоставляется социальная выплата, по следующей формуле:</w:t>
      </w:r>
    </w:p>
    <w:p w:rsidR="002C2EFE" w:rsidRDefault="00FA7CD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= Н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0,2, где:</w:t>
      </w:r>
    </w:p>
    <w:p w:rsidR="002C2EFE" w:rsidRDefault="00FA7CD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- размер социальной выплаты;</w:t>
      </w:r>
    </w:p>
    <w:p w:rsidR="002C2EFE" w:rsidRDefault="00FA7CD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- норматив общей площади жилого помещения, установленный</w:t>
      </w:r>
    </w:p>
    <w:p w:rsidR="002C2EFE" w:rsidRDefault="00FA7CD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следующем размере:</w:t>
      </w:r>
    </w:p>
    <w:p w:rsidR="002C2EFE" w:rsidRDefault="00FA7CD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 кв. метра общей площади - для одиноко проживающего гражданина;</w:t>
      </w:r>
    </w:p>
    <w:p w:rsidR="002C2EFE" w:rsidRDefault="00FA7CD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 кв. метра общей площади - для семьи из двух человек;</w:t>
      </w:r>
    </w:p>
    <w:p w:rsidR="002C2EFE" w:rsidRDefault="00FA7CD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18 кв. метров общей площади - на каждого члена семьи, для семьи, состоящей из трех и более человек;</w:t>
      </w:r>
    </w:p>
    <w:p w:rsidR="002C2EFE" w:rsidRDefault="00FA7CD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средняя рыночная стоимость одного кв. метра общей площади жилья по Оренбургской области, утвержденная уполномоченным Правительством Российской Федерации федеральным органом исполнительной власти.</w:t>
      </w:r>
    </w:p>
    <w:p w:rsidR="002C2EFE" w:rsidRDefault="00FA7CD5">
      <w:pPr>
        <w:pStyle w:val="af"/>
        <w:ind w:left="4253"/>
        <w:jc w:val="both"/>
        <w:rPr>
          <w:rFonts w:ascii="Times New Roman" w:hAnsi="Times New Roman" w:cs="Times New Roman"/>
          <w:i/>
          <w:sz w:val="24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8"/>
        </w:rPr>
        <w:t>Справочно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>: согласно приказу Минстроя России «О показателях средней рыночной стоимости одного квадратного метра общей площади жилого помещения по субъектам Российской Федерации на IV квартал 2022 года», стоимость 1 квадратного метра общей площади жилья по Оренбургской области на четвертый квартал 2022 года установлен в размере 50 035 рублей, таким образом, размер социальной выплаты составит для семей с составом:</w:t>
      </w:r>
      <w:proofErr w:type="gramEnd"/>
    </w:p>
    <w:p w:rsidR="002C2EFE" w:rsidRDefault="00FA7CD5">
      <w:pPr>
        <w:pStyle w:val="af"/>
        <w:ind w:left="4253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- 1 человек – 330 231 руб. (при стоимости приобретаемого жилого помещения не менее 1 651 155 руб.);</w:t>
      </w:r>
    </w:p>
    <w:p w:rsidR="002C2EFE" w:rsidRDefault="00FA7CD5">
      <w:pPr>
        <w:pStyle w:val="af"/>
        <w:ind w:left="4253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- 2 человека – 420 294 (при стоимости приобретаемого жилого помещения не менее 2 101 470 руб.);</w:t>
      </w:r>
    </w:p>
    <w:p w:rsidR="002C2EFE" w:rsidRDefault="00FA7CD5">
      <w:pPr>
        <w:pStyle w:val="af"/>
        <w:ind w:left="4253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- 3 человека – 540 378 (при стоимости приобретаемого жилого помещения не менее 2 701 890 руб.);</w:t>
      </w:r>
    </w:p>
    <w:p w:rsidR="002C2EFE" w:rsidRDefault="00FA7CD5">
      <w:pPr>
        <w:pStyle w:val="af"/>
        <w:ind w:left="4253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- 4 человека – 720 504 руб. (при стоимости приобретаемого жилого помещения не менее 3 602 520 руб.);</w:t>
      </w:r>
    </w:p>
    <w:p w:rsidR="002C2EFE" w:rsidRDefault="00FA7CD5">
      <w:pPr>
        <w:pStyle w:val="af"/>
        <w:ind w:left="4253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- 5 человек – 900 630 руб. (при стоимости приобретаемого жилого помещения не менее 4 503 3150 руб.) и т.д.</w:t>
      </w:r>
    </w:p>
    <w:p w:rsidR="002C2EFE" w:rsidRDefault="00FA7CD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вышеизложенным, просим Вас ознакомиться с постановлениями Правительства Оренбургской области от 25.10.2022 № 1136-п и от 27.07.2011 № 652-п (с изменениями) и, в целях сокращения очередности граждан, состоящих на учете в качестве нуждающихся в жилых помещениях, предоставляемых по договорам социального найма, провести информационно-разъяснительную работу с гражданами, состоящими на указанном учете, а также разместить на информационных стендах и официальных сайтах администраций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сель/поссоветов.</w:t>
      </w:r>
    </w:p>
    <w:p w:rsidR="002C2EFE" w:rsidRDefault="00FA7CD5">
      <w:pPr>
        <w:pStyle w:val="af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Информацию о размещении вышеуказанных нормативных актов необходимо направить на адрес электронной почты: </w:t>
      </w:r>
      <w:hyperlink r:id="rId9">
        <w:r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kna</w:t>
        </w:r>
        <w:r>
          <w:rPr>
            <w:rStyle w:val="InternetLink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no</w:t>
        </w:r>
        <w:r>
          <w:rPr>
            <w:rStyle w:val="InternetLink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orb</w:t>
        </w:r>
        <w:r>
          <w:rPr>
            <w:rStyle w:val="InternetLink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(Кривошеевой Н.А.) до 11.11.2022 года.</w:t>
      </w:r>
    </w:p>
    <w:p w:rsidR="002C2EFE" w:rsidRDefault="00FA7CD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2C2EFE" w:rsidRDefault="00FA7CD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Оренбургской области от 25.10.2022 № 1136-п на 4-х л.</w:t>
      </w:r>
    </w:p>
    <w:p w:rsidR="002C2EFE" w:rsidRDefault="00FA7CD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Оренбургской области от 27.07.2011 № 652-п на 11 л.</w:t>
      </w:r>
    </w:p>
    <w:p w:rsidR="002C2EFE" w:rsidRDefault="002C2EF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EFE" w:rsidRDefault="002C2EFE">
      <w:pPr>
        <w:pStyle w:val="af"/>
        <w:ind w:firstLine="709"/>
        <w:jc w:val="both"/>
        <w:rPr>
          <w:sz w:val="28"/>
          <w:szCs w:val="28"/>
        </w:rPr>
      </w:pPr>
    </w:p>
    <w:p w:rsidR="002C2EFE" w:rsidRDefault="002C2EFE">
      <w:pPr>
        <w:pStyle w:val="af"/>
        <w:jc w:val="both"/>
        <w:rPr>
          <w:sz w:val="28"/>
          <w:szCs w:val="28"/>
        </w:rPr>
      </w:pPr>
    </w:p>
    <w:p w:rsidR="002C2EFE" w:rsidRDefault="00FA7CD5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 администрации</w:t>
      </w:r>
    </w:p>
    <w:p w:rsidR="002C2EFE" w:rsidRDefault="00FA7CD5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правовым вопросам – </w:t>
      </w:r>
    </w:p>
    <w:p w:rsidR="002C2EFE" w:rsidRDefault="00FA7CD5">
      <w:pPr>
        <w:tabs>
          <w:tab w:val="left" w:pos="7380"/>
        </w:tabs>
        <w:jc w:val="both"/>
        <w:rPr>
          <w:sz w:val="20"/>
          <w:szCs w:val="20"/>
        </w:rPr>
      </w:pPr>
      <w:r>
        <w:rPr>
          <w:sz w:val="28"/>
          <w:szCs w:val="28"/>
        </w:rPr>
        <w:t>начальник правового отдела                                                              И.С. Шлыков</w:t>
      </w:r>
    </w:p>
    <w:p w:rsidR="002C2EFE" w:rsidRDefault="00FA7CD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</w:t>
      </w:r>
    </w:p>
    <w:p w:rsidR="002C2EFE" w:rsidRDefault="00FA7CD5">
      <w:pPr>
        <w:rPr>
          <w:sz w:val="28"/>
          <w:szCs w:val="28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</w:t>
      </w:r>
      <w:r>
        <w:rPr>
          <w:rFonts w:ascii="Tahoma" w:hAnsi="Tahoma" w:cs="Tahoma"/>
          <w:noProof/>
          <w:sz w:val="16"/>
          <w:szCs w:val="16"/>
        </w:rPr>
        <w:drawing>
          <wp:inline distT="0" distB="0" distL="0" distR="0">
            <wp:extent cx="2988310" cy="1192530"/>
            <wp:effectExtent l="0" t="0" r="0" b="0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_UnoMark__1139_1303778669"/>
      <w:bookmarkEnd w:id="1"/>
      <w:r>
        <w:rPr>
          <w:rFonts w:ascii="Tahoma" w:hAnsi="Tahoma" w:cs="Tahoma"/>
          <w:sz w:val="16"/>
          <w:szCs w:val="16"/>
        </w:rPr>
        <w:t xml:space="preserve">                                      </w:t>
      </w:r>
    </w:p>
    <w:p w:rsidR="002C2EFE" w:rsidRDefault="002C2EFE">
      <w:pPr>
        <w:rPr>
          <w:sz w:val="20"/>
          <w:szCs w:val="20"/>
        </w:rPr>
      </w:pPr>
    </w:p>
    <w:p w:rsidR="002C2EFE" w:rsidRDefault="002C2EFE">
      <w:pPr>
        <w:rPr>
          <w:sz w:val="20"/>
        </w:rPr>
      </w:pPr>
    </w:p>
    <w:p w:rsidR="002C2EFE" w:rsidRDefault="002C2EFE">
      <w:pPr>
        <w:rPr>
          <w:sz w:val="20"/>
        </w:rPr>
      </w:pPr>
    </w:p>
    <w:p w:rsidR="002C2EFE" w:rsidRDefault="00FA7CD5">
      <w:pPr>
        <w:rPr>
          <w:sz w:val="20"/>
        </w:rPr>
      </w:pPr>
      <w:r>
        <w:rPr>
          <w:sz w:val="20"/>
        </w:rPr>
        <w:t>Исп. Н.А. Кривошеева</w:t>
      </w:r>
    </w:p>
    <w:p w:rsidR="002C2EFE" w:rsidRDefault="00FA7CD5">
      <w:pPr>
        <w:rPr>
          <w:sz w:val="28"/>
          <w:szCs w:val="28"/>
        </w:rPr>
      </w:pPr>
      <w:r>
        <w:rPr>
          <w:sz w:val="20"/>
        </w:rPr>
        <w:t>8 (35363) 77013</w:t>
      </w:r>
      <w:r>
        <w:br w:type="page"/>
      </w:r>
    </w:p>
    <w:p w:rsidR="002C2EFE" w:rsidRDefault="00FA7CD5">
      <w:pPr>
        <w:tabs>
          <w:tab w:val="left" w:pos="7380"/>
        </w:tabs>
        <w:jc w:val="both"/>
        <w:rPr>
          <w:i/>
          <w:sz w:val="22"/>
          <w:szCs w:val="22"/>
        </w:rPr>
      </w:pPr>
      <w:r>
        <w:rPr>
          <w:sz w:val="28"/>
          <w:szCs w:val="28"/>
        </w:rPr>
        <w:t>Рассылка:</w:t>
      </w:r>
    </w:p>
    <w:tbl>
      <w:tblPr>
        <w:tblW w:w="94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647"/>
        <w:gridCol w:w="3600"/>
        <w:gridCol w:w="5221"/>
      </w:tblGrid>
      <w:tr w:rsidR="002C2EFE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EFE" w:rsidRDefault="00FA7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EFE" w:rsidRDefault="00FA7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сельского/ поселкового Совета 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EFE" w:rsidRDefault="00FA7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сельского/ поселкового Совета</w:t>
            </w:r>
          </w:p>
        </w:tc>
      </w:tr>
      <w:tr w:rsidR="002C2EFE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EFE" w:rsidRDefault="00FA7C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EFE" w:rsidRDefault="00FA7CD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Будамшинский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EFE" w:rsidRDefault="00FA7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Комарова </w:t>
            </w:r>
            <w:proofErr w:type="spellStart"/>
            <w:r>
              <w:rPr>
                <w:sz w:val="28"/>
                <w:szCs w:val="28"/>
              </w:rPr>
              <w:t>Минслу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Сагимбаевна</w:t>
            </w:r>
            <w:proofErr w:type="spellEnd"/>
          </w:p>
        </w:tc>
      </w:tr>
      <w:tr w:rsidR="002C2EFE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EFE" w:rsidRDefault="00FA7C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EFE" w:rsidRDefault="00FA7C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Горьковский сельсовет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EFE" w:rsidRDefault="00FA7C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Глибоцкий</w:t>
            </w:r>
            <w:proofErr w:type="spellEnd"/>
            <w:r>
              <w:rPr>
                <w:sz w:val="28"/>
                <w:szCs w:val="28"/>
              </w:rPr>
              <w:t xml:space="preserve"> Александр Владимирович</w:t>
            </w:r>
          </w:p>
        </w:tc>
      </w:tr>
      <w:tr w:rsidR="002C2EFE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EFE" w:rsidRDefault="00FA7C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EFE" w:rsidRDefault="00FA7C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Добровольский сельсовет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EFE" w:rsidRDefault="00FA7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Надежда Николаевна</w:t>
            </w:r>
          </w:p>
        </w:tc>
      </w:tr>
      <w:tr w:rsidR="002C2EFE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EFE" w:rsidRDefault="00FA7C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EFE" w:rsidRDefault="00FA7CD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Караганский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EFE" w:rsidRDefault="00FA7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Тронь Константин Петрович</w:t>
            </w:r>
          </w:p>
        </w:tc>
      </w:tr>
      <w:tr w:rsidR="002C2EFE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EFE" w:rsidRDefault="00FA7C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EFE" w:rsidRDefault="00FA7C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Кумакский сельсовет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EFE" w:rsidRDefault="00FA7C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Мальковская</w:t>
            </w:r>
            <w:proofErr w:type="spellEnd"/>
            <w:r>
              <w:rPr>
                <w:sz w:val="28"/>
                <w:szCs w:val="28"/>
              </w:rPr>
              <w:t xml:space="preserve"> Ольга Алексеевна </w:t>
            </w:r>
          </w:p>
        </w:tc>
      </w:tr>
      <w:tr w:rsidR="002C2EFE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EFE" w:rsidRDefault="00FA7C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EFE" w:rsidRDefault="00FA7C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Новоорский поссовет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EFE" w:rsidRDefault="00FA7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 Алексей Николаевич</w:t>
            </w:r>
          </w:p>
        </w:tc>
      </w:tr>
      <w:tr w:rsidR="002C2EFE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EFE" w:rsidRDefault="00FA7C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EFE" w:rsidRDefault="00FA7C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Приреченский сельсовет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EFE" w:rsidRDefault="00FA7C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Чиков</w:t>
            </w:r>
            <w:proofErr w:type="spellEnd"/>
            <w:r>
              <w:rPr>
                <w:sz w:val="28"/>
                <w:szCs w:val="28"/>
              </w:rPr>
              <w:t xml:space="preserve"> Сергей Иванович</w:t>
            </w:r>
          </w:p>
        </w:tc>
      </w:tr>
      <w:tr w:rsidR="002C2EFE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EFE" w:rsidRDefault="00FA7C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EFE" w:rsidRDefault="00FA7C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Чапаевский сельсовет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EFE" w:rsidRDefault="00FA7C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Писарькова</w:t>
            </w:r>
            <w:proofErr w:type="spellEnd"/>
            <w:r>
              <w:rPr>
                <w:sz w:val="28"/>
                <w:szCs w:val="28"/>
              </w:rPr>
              <w:t xml:space="preserve"> Валентина Вячеславовна</w:t>
            </w:r>
          </w:p>
        </w:tc>
      </w:tr>
      <w:tr w:rsidR="002C2EFE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EFE" w:rsidRDefault="00FA7C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EFE" w:rsidRDefault="00FA7CD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Энергетикский</w:t>
            </w:r>
            <w:proofErr w:type="spellEnd"/>
            <w:r>
              <w:rPr>
                <w:sz w:val="28"/>
                <w:szCs w:val="28"/>
              </w:rPr>
              <w:t xml:space="preserve"> поссовет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EFE" w:rsidRDefault="00FA7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Дубов Александр Иванович</w:t>
            </w:r>
          </w:p>
        </w:tc>
      </w:tr>
    </w:tbl>
    <w:p w:rsidR="002C2EFE" w:rsidRDefault="002C2EFE"/>
    <w:sectPr w:rsidR="002C2EFE" w:rsidSect="002C2EFE">
      <w:pgSz w:w="11906" w:h="16838"/>
      <w:pgMar w:top="1134" w:right="567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characterSpacingControl w:val="doNotCompress"/>
  <w:savePreviewPicture/>
  <w:compat/>
  <w:rsids>
    <w:rsidRoot w:val="002C2EFE"/>
    <w:rsid w:val="002C2EFE"/>
    <w:rsid w:val="00697846"/>
    <w:rsid w:val="00B37D83"/>
    <w:rsid w:val="00FA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8E606A"/>
    <w:pPr>
      <w:keepNext/>
      <w:jc w:val="right"/>
      <w:outlineLvl w:val="0"/>
    </w:pPr>
    <w:rPr>
      <w:sz w:val="28"/>
      <w:szCs w:val="20"/>
    </w:rPr>
  </w:style>
  <w:style w:type="paragraph" w:customStyle="1" w:styleId="Heading2">
    <w:name w:val="Heading 2"/>
    <w:basedOn w:val="a"/>
    <w:qFormat/>
    <w:rsid w:val="00333C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4">
    <w:name w:val="Heading 4"/>
    <w:basedOn w:val="a"/>
    <w:qFormat/>
    <w:rsid w:val="00333C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Heading5">
    <w:name w:val="Heading 5"/>
    <w:basedOn w:val="a"/>
    <w:qFormat/>
    <w:rsid w:val="00333C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Heading6">
    <w:name w:val="Heading 6"/>
    <w:basedOn w:val="a"/>
    <w:qFormat/>
    <w:rsid w:val="00333CA3"/>
    <w:pPr>
      <w:spacing w:before="240" w:after="60"/>
      <w:outlineLvl w:val="5"/>
    </w:pPr>
    <w:rPr>
      <w:b/>
      <w:bCs/>
      <w:sz w:val="22"/>
      <w:szCs w:val="22"/>
    </w:rPr>
  </w:style>
  <w:style w:type="character" w:customStyle="1" w:styleId="InternetLink">
    <w:name w:val="Internet Link"/>
    <w:basedOn w:val="a0"/>
    <w:rsid w:val="00D2705C"/>
    <w:rPr>
      <w:color w:val="0000FF"/>
      <w:u w:val="single"/>
    </w:rPr>
  </w:style>
  <w:style w:type="character" w:customStyle="1" w:styleId="a3">
    <w:name w:val="Текст сноски Знак"/>
    <w:basedOn w:val="a0"/>
    <w:qFormat/>
    <w:rsid w:val="005A01CF"/>
  </w:style>
  <w:style w:type="character" w:styleId="a4">
    <w:name w:val="footnote reference"/>
    <w:basedOn w:val="a0"/>
    <w:qFormat/>
    <w:rsid w:val="005A01CF"/>
    <w:rPr>
      <w:vertAlign w:val="superscript"/>
    </w:rPr>
  </w:style>
  <w:style w:type="character" w:customStyle="1" w:styleId="a5">
    <w:name w:val="Текст концевой сноски Знак"/>
    <w:basedOn w:val="a0"/>
    <w:qFormat/>
    <w:rsid w:val="000054A7"/>
  </w:style>
  <w:style w:type="character" w:styleId="a6">
    <w:name w:val="endnote reference"/>
    <w:basedOn w:val="a0"/>
    <w:qFormat/>
    <w:rsid w:val="000054A7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440059"/>
    <w:rPr>
      <w:color w:val="605E5C"/>
      <w:shd w:val="clear" w:color="auto" w:fill="E1DFDD"/>
    </w:rPr>
  </w:style>
  <w:style w:type="character" w:styleId="a7">
    <w:name w:val="FollowedHyperlink"/>
    <w:basedOn w:val="a0"/>
    <w:semiHidden/>
    <w:unhideWhenUsed/>
    <w:qFormat/>
    <w:rsid w:val="00440059"/>
    <w:rPr>
      <w:color w:val="800080" w:themeColor="followedHyperlink"/>
      <w:u w:val="single"/>
    </w:rPr>
  </w:style>
  <w:style w:type="character" w:customStyle="1" w:styleId="2">
    <w:name w:val="Основной текст (2)_"/>
    <w:basedOn w:val="a0"/>
    <w:link w:val="20"/>
    <w:qFormat/>
    <w:rsid w:val="00104FF9"/>
    <w:rPr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qFormat/>
    <w:locked/>
    <w:rsid w:val="0014492C"/>
    <w:rPr>
      <w:sz w:val="26"/>
      <w:szCs w:val="26"/>
      <w:shd w:val="clear" w:color="auto" w:fill="FFFFFF"/>
    </w:rPr>
  </w:style>
  <w:style w:type="character" w:customStyle="1" w:styleId="20">
    <w:name w:val="Основной текст 2 Знак"/>
    <w:basedOn w:val="a0"/>
    <w:link w:val="2"/>
    <w:uiPriority w:val="99"/>
    <w:semiHidden/>
    <w:qFormat/>
    <w:rsid w:val="00703D62"/>
    <w:rPr>
      <w:rFonts w:ascii="Arial" w:hAnsi="Arial"/>
    </w:rPr>
  </w:style>
  <w:style w:type="character" w:customStyle="1" w:styleId="ListLabel1">
    <w:name w:val="ListLabel 1"/>
    <w:qFormat/>
    <w:rsid w:val="002C2EFE"/>
    <w:rPr>
      <w:rFonts w:cs="Times New Roman"/>
    </w:rPr>
  </w:style>
  <w:style w:type="character" w:customStyle="1" w:styleId="ListLabel2">
    <w:name w:val="ListLabel 2"/>
    <w:qFormat/>
    <w:rsid w:val="002C2EFE"/>
    <w:rPr>
      <w:rFonts w:cs="Times New Roman"/>
    </w:rPr>
  </w:style>
  <w:style w:type="character" w:customStyle="1" w:styleId="ListLabel3">
    <w:name w:val="ListLabel 3"/>
    <w:qFormat/>
    <w:rsid w:val="002C2EFE"/>
    <w:rPr>
      <w:rFonts w:cs="Times New Roman"/>
    </w:rPr>
  </w:style>
  <w:style w:type="character" w:customStyle="1" w:styleId="ListLabel4">
    <w:name w:val="ListLabel 4"/>
    <w:qFormat/>
    <w:rsid w:val="002C2EFE"/>
    <w:rPr>
      <w:rFonts w:cs="Times New Roman"/>
    </w:rPr>
  </w:style>
  <w:style w:type="character" w:customStyle="1" w:styleId="ListLabel5">
    <w:name w:val="ListLabel 5"/>
    <w:qFormat/>
    <w:rsid w:val="002C2EFE"/>
    <w:rPr>
      <w:rFonts w:cs="Times New Roman"/>
    </w:rPr>
  </w:style>
  <w:style w:type="character" w:customStyle="1" w:styleId="ListLabel6">
    <w:name w:val="ListLabel 6"/>
    <w:qFormat/>
    <w:rsid w:val="002C2EFE"/>
    <w:rPr>
      <w:rFonts w:cs="Times New Roman"/>
    </w:rPr>
  </w:style>
  <w:style w:type="character" w:customStyle="1" w:styleId="ListLabel7">
    <w:name w:val="ListLabel 7"/>
    <w:qFormat/>
    <w:rsid w:val="002C2EFE"/>
    <w:rPr>
      <w:rFonts w:cs="Times New Roman"/>
    </w:rPr>
  </w:style>
  <w:style w:type="character" w:customStyle="1" w:styleId="ListLabel8">
    <w:name w:val="ListLabel 8"/>
    <w:qFormat/>
    <w:rsid w:val="002C2EFE"/>
    <w:rPr>
      <w:rFonts w:cs="Times New Roman"/>
    </w:rPr>
  </w:style>
  <w:style w:type="character" w:customStyle="1" w:styleId="ListLabel9">
    <w:name w:val="ListLabel 9"/>
    <w:qFormat/>
    <w:rsid w:val="002C2EFE"/>
    <w:rPr>
      <w:rFonts w:cs="Times New Roman"/>
    </w:rPr>
  </w:style>
  <w:style w:type="character" w:customStyle="1" w:styleId="ListLabel10">
    <w:name w:val="ListLabel 10"/>
    <w:qFormat/>
    <w:rsid w:val="002C2EFE"/>
    <w:rPr>
      <w:rFonts w:cs="Courier New"/>
    </w:rPr>
  </w:style>
  <w:style w:type="character" w:customStyle="1" w:styleId="ListLabel11">
    <w:name w:val="ListLabel 11"/>
    <w:qFormat/>
    <w:rsid w:val="002C2EFE"/>
    <w:rPr>
      <w:rFonts w:cs="Courier New"/>
    </w:rPr>
  </w:style>
  <w:style w:type="character" w:customStyle="1" w:styleId="ListLabel12">
    <w:name w:val="ListLabel 12"/>
    <w:qFormat/>
    <w:rsid w:val="002C2EFE"/>
    <w:rPr>
      <w:rFonts w:cs="Courier New"/>
    </w:rPr>
  </w:style>
  <w:style w:type="character" w:customStyle="1" w:styleId="EndnoteCharacters">
    <w:name w:val="Endnote Characters"/>
    <w:qFormat/>
    <w:rsid w:val="002C2EFE"/>
  </w:style>
  <w:style w:type="paragraph" w:customStyle="1" w:styleId="Heading">
    <w:name w:val="Heading"/>
    <w:basedOn w:val="a"/>
    <w:next w:val="a8"/>
    <w:qFormat/>
    <w:rsid w:val="002C2EFE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8">
    <w:name w:val="Body Text"/>
    <w:basedOn w:val="a"/>
    <w:rsid w:val="002C2EFE"/>
    <w:pPr>
      <w:spacing w:after="140" w:line="288" w:lineRule="auto"/>
    </w:pPr>
  </w:style>
  <w:style w:type="paragraph" w:styleId="a9">
    <w:name w:val="List"/>
    <w:basedOn w:val="a8"/>
    <w:rsid w:val="002C2EFE"/>
    <w:rPr>
      <w:rFonts w:cs="Nirmala UI"/>
    </w:rPr>
  </w:style>
  <w:style w:type="paragraph" w:customStyle="1" w:styleId="Caption">
    <w:name w:val="Caption"/>
    <w:basedOn w:val="a"/>
    <w:qFormat/>
    <w:rsid w:val="002C2EFE"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rsid w:val="002C2EFE"/>
    <w:pPr>
      <w:suppressLineNumbers/>
    </w:pPr>
    <w:rPr>
      <w:rFonts w:cs="Nirmala UI"/>
    </w:rPr>
  </w:style>
  <w:style w:type="paragraph" w:styleId="aa">
    <w:name w:val="Balloon Text"/>
    <w:basedOn w:val="a"/>
    <w:semiHidden/>
    <w:qFormat/>
    <w:rsid w:val="00CC6DAB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D37714"/>
    <w:pPr>
      <w:ind w:left="-540" w:firstLine="540"/>
    </w:pPr>
  </w:style>
  <w:style w:type="paragraph" w:customStyle="1" w:styleId="1">
    <w:name w:val="Абзац списка1"/>
    <w:basedOn w:val="a"/>
    <w:qFormat/>
    <w:rsid w:val="00292F25"/>
    <w:pPr>
      <w:ind w:left="720"/>
    </w:pPr>
    <w:rPr>
      <w:rFonts w:eastAsia="Calibri"/>
    </w:rPr>
  </w:style>
  <w:style w:type="paragraph" w:customStyle="1" w:styleId="ConsPlusNormal">
    <w:name w:val="ConsPlusNormal"/>
    <w:qFormat/>
    <w:rsid w:val="00885F99"/>
    <w:rPr>
      <w:sz w:val="28"/>
      <w:szCs w:val="28"/>
    </w:rPr>
  </w:style>
  <w:style w:type="paragraph" w:styleId="ac">
    <w:name w:val="List Paragraph"/>
    <w:basedOn w:val="a"/>
    <w:uiPriority w:val="34"/>
    <w:qFormat/>
    <w:rsid w:val="00DA0DE5"/>
    <w:pPr>
      <w:ind w:left="720"/>
      <w:contextualSpacing/>
    </w:pPr>
  </w:style>
  <w:style w:type="paragraph" w:styleId="ad">
    <w:name w:val="footnote text"/>
    <w:basedOn w:val="a"/>
    <w:qFormat/>
    <w:rsid w:val="005A01CF"/>
    <w:rPr>
      <w:sz w:val="20"/>
      <w:szCs w:val="20"/>
    </w:rPr>
  </w:style>
  <w:style w:type="paragraph" w:styleId="ae">
    <w:name w:val="endnote text"/>
    <w:basedOn w:val="a"/>
    <w:qFormat/>
    <w:rsid w:val="000054A7"/>
    <w:rPr>
      <w:sz w:val="20"/>
      <w:szCs w:val="20"/>
    </w:rPr>
  </w:style>
  <w:style w:type="paragraph" w:customStyle="1" w:styleId="Default">
    <w:name w:val="Default"/>
    <w:qFormat/>
    <w:rsid w:val="00CE169A"/>
    <w:rPr>
      <w:rFonts w:ascii="Liberation Serif" w:hAnsi="Liberation Serif" w:cs="Liberation Serif"/>
      <w:color w:val="000000"/>
      <w:sz w:val="24"/>
      <w:szCs w:val="24"/>
    </w:rPr>
  </w:style>
  <w:style w:type="paragraph" w:styleId="af">
    <w:name w:val="No Spacing"/>
    <w:qFormat/>
    <w:rsid w:val="00975088"/>
    <w:rPr>
      <w:rFonts w:ascii="Calibri" w:hAnsi="Calibri" w:cs="Calibri"/>
      <w:sz w:val="22"/>
      <w:szCs w:val="22"/>
    </w:rPr>
  </w:style>
  <w:style w:type="paragraph" w:customStyle="1" w:styleId="21">
    <w:name w:val="Основной текст (2)1"/>
    <w:basedOn w:val="a"/>
    <w:qFormat/>
    <w:rsid w:val="00104FF9"/>
    <w:pPr>
      <w:widowControl w:val="0"/>
      <w:shd w:val="clear" w:color="auto" w:fill="FFFFFF"/>
      <w:spacing w:after="300" w:line="313" w:lineRule="exact"/>
      <w:jc w:val="both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qFormat/>
    <w:rsid w:val="0014492C"/>
    <w:rPr>
      <w:sz w:val="26"/>
      <w:szCs w:val="26"/>
      <w:shd w:val="clear" w:color="auto" w:fill="FFFFFF"/>
    </w:rPr>
  </w:style>
  <w:style w:type="paragraph" w:styleId="22">
    <w:name w:val="Body Text 2"/>
    <w:basedOn w:val="a"/>
    <w:uiPriority w:val="99"/>
    <w:semiHidden/>
    <w:unhideWhenUsed/>
    <w:qFormat/>
    <w:rsid w:val="00703D62"/>
    <w:pPr>
      <w:widowControl w:val="0"/>
      <w:spacing w:after="120" w:line="480" w:lineRule="auto"/>
    </w:pPr>
    <w:rPr>
      <w:rFonts w:ascii="Arial" w:hAnsi="Arial"/>
      <w:sz w:val="20"/>
      <w:szCs w:val="20"/>
    </w:rPr>
  </w:style>
  <w:style w:type="table" w:styleId="af0">
    <w:name w:val="Table Grid"/>
    <w:basedOn w:val="a1"/>
    <w:rsid w:val="008E1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no@mail.orb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eworsk56.orb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kna@no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58100-1B33-48B8-A891-F3D1F911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1817</Words>
  <Characters>10362</Characters>
  <Application>Microsoft Office Word</Application>
  <DocSecurity>0</DocSecurity>
  <Lines>86</Lines>
  <Paragraphs>24</Paragraphs>
  <ScaleCrop>false</ScaleCrop>
  <Company/>
  <LinksUpToDate>false</LinksUpToDate>
  <CharactersWithSpaces>12155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1</dc:creator>
  <cp:lastModifiedBy>1</cp:lastModifiedBy>
  <cp:revision>2</cp:revision>
  <cp:lastPrinted>2022-11-09T10:10:00Z</cp:lastPrinted>
  <dcterms:created xsi:type="dcterms:W3CDTF">2022-11-09T11:46:00Z</dcterms:created>
  <dcterms:modified xsi:type="dcterms:W3CDTF">2022-11-09T11:46:00Z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